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7D09" w:rsidRPr="000B52EB" w:rsidRDefault="000A7D09" w:rsidP="000A7D09">
      <w:pPr>
        <w:pStyle w:val="Heading1"/>
        <w:rPr>
          <w:rFonts w:ascii="Times New Roman" w:hAnsi="Times New Roman" w:cs="Times New Roman"/>
          <w:b/>
          <w:color w:val="auto"/>
          <w:sz w:val="24"/>
          <w:szCs w:val="24"/>
          <w:u w:val="single"/>
        </w:rPr>
      </w:pPr>
      <w:r w:rsidRPr="000B52EB">
        <w:rPr>
          <w:rFonts w:ascii="Times New Roman" w:hAnsi="Times New Roman" w:cs="Times New Roman"/>
          <w:b/>
          <w:color w:val="auto"/>
          <w:sz w:val="24"/>
          <w:szCs w:val="24"/>
          <w:u w:val="single"/>
        </w:rPr>
        <w:t xml:space="preserve">Question </w:t>
      </w:r>
      <w:r>
        <w:rPr>
          <w:rFonts w:ascii="Times New Roman" w:hAnsi="Times New Roman" w:cs="Times New Roman"/>
          <w:b/>
          <w:color w:val="auto"/>
          <w:sz w:val="24"/>
          <w:szCs w:val="24"/>
          <w:u w:val="single"/>
        </w:rPr>
        <w:t>3</w:t>
      </w:r>
    </w:p>
    <w:p w:rsidR="000A7D09" w:rsidRDefault="000A7D09" w:rsidP="000A7D09">
      <w:pPr>
        <w:ind w:right="27"/>
        <w:jc w:val="both"/>
      </w:pPr>
    </w:p>
    <w:p w:rsidR="000A7D09" w:rsidRDefault="000A7D09" w:rsidP="000A7D09">
      <w:pPr>
        <w:pStyle w:val="ListParagraph"/>
        <w:numPr>
          <w:ilvl w:val="0"/>
          <w:numId w:val="1"/>
        </w:numPr>
        <w:spacing w:line="360" w:lineRule="auto"/>
        <w:jc w:val="both"/>
      </w:pPr>
      <w:r>
        <w:t>What are the mechanisms of heat transfer, and how are they different from each other?</w:t>
      </w:r>
    </w:p>
    <w:p w:rsidR="000A7D09" w:rsidRPr="00496BD5" w:rsidRDefault="000A7D09" w:rsidP="000A7D09">
      <w:pPr>
        <w:tabs>
          <w:tab w:val="left" w:pos="540"/>
          <w:tab w:val="left" w:pos="1080"/>
        </w:tabs>
        <w:spacing w:line="360" w:lineRule="auto"/>
        <w:ind w:left="450"/>
        <w:jc w:val="right"/>
        <w:rPr>
          <w:sz w:val="22"/>
          <w:szCs w:val="22"/>
        </w:rPr>
      </w:pPr>
      <w:r w:rsidRPr="00496BD5">
        <w:rPr>
          <w:sz w:val="22"/>
          <w:szCs w:val="22"/>
        </w:rPr>
        <w:t>[5 marks]</w:t>
      </w:r>
    </w:p>
    <w:p w:rsidR="000A7D09" w:rsidRDefault="000A7D09" w:rsidP="000A7D09">
      <w:pPr>
        <w:spacing w:line="360" w:lineRule="auto"/>
        <w:ind w:left="450"/>
        <w:jc w:val="both"/>
      </w:pPr>
    </w:p>
    <w:p w:rsidR="000A7D09" w:rsidRDefault="000A7D09" w:rsidP="000A7D09">
      <w:pPr>
        <w:pStyle w:val="ListParagraph"/>
        <w:numPr>
          <w:ilvl w:val="0"/>
          <w:numId w:val="1"/>
        </w:numPr>
        <w:spacing w:line="360" w:lineRule="auto"/>
        <w:jc w:val="both"/>
      </w:pPr>
      <w:r>
        <w:t xml:space="preserve">In a manufacturing process, a transparent film is being bonded to a substrate as shown in Figure Q3. To cure the bond at a temperature </w:t>
      </w:r>
      <w:r w:rsidRPr="00496BD5">
        <w:rPr>
          <w:i/>
        </w:rPr>
        <w:t>T</w:t>
      </w:r>
      <w:r w:rsidRPr="00496BD5">
        <w:rPr>
          <w:i/>
          <w:vertAlign w:val="subscript"/>
        </w:rPr>
        <w:t>0</w:t>
      </w:r>
      <w:r>
        <w:t xml:space="preserve">, a radiant heat source is used to provide a heat flux </w:t>
      </w:r>
      <m:oMath>
        <m:sSubSup>
          <m:sSubSupPr>
            <m:ctrlPr>
              <w:rPr>
                <w:rFonts w:ascii="Cambria Math" w:hAnsi="Cambria Math"/>
                <w:i/>
              </w:rPr>
            </m:ctrlPr>
          </m:sSubSupPr>
          <m:e>
            <m:r>
              <w:rPr>
                <w:rFonts w:ascii="Cambria Math" w:hAnsi="Cambria Math"/>
              </w:rPr>
              <m:t>q</m:t>
            </m:r>
          </m:e>
          <m:sub>
            <m:r>
              <w:rPr>
                <w:rFonts w:ascii="Cambria Math" w:hAnsi="Cambria Math"/>
              </w:rPr>
              <m:t>0</m:t>
            </m:r>
          </m:sub>
          <m:sup>
            <m:r>
              <w:rPr>
                <w:rFonts w:ascii="Cambria Math" w:hAnsi="Cambria Math"/>
              </w:rPr>
              <m:t>''</m:t>
            </m:r>
          </m:sup>
        </m:sSubSup>
      </m:oMath>
      <w:r>
        <w:t>(W/m</w:t>
      </w:r>
      <w:r w:rsidRPr="00496BD5">
        <w:rPr>
          <w:vertAlign w:val="superscript"/>
        </w:rPr>
        <w:t>2</w:t>
      </w:r>
      <w:r>
        <w:t xml:space="preserve">), all of which is absorbed at the bonded surface. The back of the substrate is maintained at </w:t>
      </w:r>
      <w:r w:rsidRPr="00496BD5">
        <w:rPr>
          <w:i/>
        </w:rPr>
        <w:t>T</w:t>
      </w:r>
      <w:r w:rsidRPr="00496BD5">
        <w:rPr>
          <w:i/>
          <w:vertAlign w:val="subscript"/>
        </w:rPr>
        <w:t>1</w:t>
      </w:r>
      <w:r>
        <w:t xml:space="preserve"> while the free surface of the film is exposed to air at </w:t>
      </w:r>
      <m:oMath>
        <m:sSub>
          <m:sSubPr>
            <m:ctrlPr>
              <w:rPr>
                <w:rFonts w:ascii="Cambria Math" w:hAnsi="Cambria Math"/>
                <w:i/>
              </w:rPr>
            </m:ctrlPr>
          </m:sSubPr>
          <m:e>
            <m:r>
              <w:rPr>
                <w:rFonts w:ascii="Cambria Math" w:hAnsi="Cambria Math"/>
              </w:rPr>
              <m:t>T</m:t>
            </m:r>
          </m:e>
          <m:sub>
            <m:r>
              <w:rPr>
                <w:rFonts w:ascii="Cambria Math" w:hAnsi="Cambria Math"/>
              </w:rPr>
              <m:t>∞</m:t>
            </m:r>
          </m:sub>
        </m:sSub>
      </m:oMath>
      <w:r>
        <w:t xml:space="preserve"> and a convection heat transfer coefficient </w:t>
      </w:r>
      <w:r w:rsidRPr="00496BD5">
        <w:rPr>
          <w:i/>
        </w:rPr>
        <w:t>h</w:t>
      </w:r>
      <w:r>
        <w:t>.</w:t>
      </w:r>
    </w:p>
    <w:p w:rsidR="000A7D09" w:rsidRDefault="000A7D09" w:rsidP="000A7D09">
      <w:pPr>
        <w:pStyle w:val="ListParagraph"/>
        <w:numPr>
          <w:ilvl w:val="1"/>
          <w:numId w:val="1"/>
        </w:numPr>
        <w:spacing w:line="360" w:lineRule="auto"/>
        <w:jc w:val="both"/>
      </w:pPr>
      <w:r>
        <w:t>Show the thermal circuit representing the steady-state heat transfer situation. Be sure to label all elements, nodes, and heat rates. Leave in symbolic form.</w:t>
      </w:r>
    </w:p>
    <w:p w:rsidR="000A7D09" w:rsidRDefault="000A7D09" w:rsidP="000A7D09">
      <w:pPr>
        <w:pStyle w:val="ListParagraph"/>
        <w:numPr>
          <w:ilvl w:val="1"/>
          <w:numId w:val="1"/>
        </w:numPr>
        <w:spacing w:line="360" w:lineRule="auto"/>
        <w:jc w:val="both"/>
      </w:pPr>
      <w:r>
        <w:t>Assume the following conditions</w:t>
      </w:r>
      <w:proofErr w:type="gramStart"/>
      <w:r>
        <w:t xml:space="preserve">: </w:t>
      </w:r>
      <w:proofErr w:type="gramEnd"/>
      <m:oMath>
        <m:sSub>
          <m:sSubPr>
            <m:ctrlPr>
              <w:rPr>
                <w:rFonts w:ascii="Cambria Math" w:hAnsi="Cambria Math"/>
                <w:i/>
              </w:rPr>
            </m:ctrlPr>
          </m:sSubPr>
          <m:e>
            <m:r>
              <w:rPr>
                <w:rFonts w:ascii="Cambria Math" w:hAnsi="Cambria Math"/>
              </w:rPr>
              <m:t>T</m:t>
            </m:r>
          </m:e>
          <m:sub>
            <m:r>
              <w:rPr>
                <w:rFonts w:ascii="Cambria Math" w:hAnsi="Cambria Math"/>
              </w:rPr>
              <m:t>∞</m:t>
            </m:r>
          </m:sub>
        </m:sSub>
        <m:r>
          <w:rPr>
            <w:rFonts w:ascii="Cambria Math" w:hAnsi="Cambria Math"/>
          </w:rPr>
          <m:t>=</m:t>
        </m:r>
        <m:sSup>
          <m:sSupPr>
            <m:ctrlPr>
              <w:rPr>
                <w:rFonts w:ascii="Cambria Math" w:hAnsi="Cambria Math"/>
                <w:i/>
              </w:rPr>
            </m:ctrlPr>
          </m:sSupPr>
          <m:e>
            <m:r>
              <w:rPr>
                <w:rFonts w:ascii="Cambria Math" w:hAnsi="Cambria Math"/>
              </w:rPr>
              <m:t>20</m:t>
            </m:r>
          </m:e>
          <m:sup>
            <m:r>
              <w:rPr>
                <w:rFonts w:ascii="Cambria Math" w:hAnsi="Cambria Math"/>
              </w:rPr>
              <m:t>o</m:t>
            </m:r>
          </m:sup>
        </m:sSup>
        <m:r>
          <w:rPr>
            <w:rFonts w:ascii="Cambria Math" w:hAnsi="Cambria Math"/>
          </w:rPr>
          <m:t>C</m:t>
        </m:r>
      </m:oMath>
      <w:r>
        <w:t xml:space="preserve">, </w:t>
      </w:r>
      <m:oMath>
        <m:r>
          <w:rPr>
            <w:rFonts w:ascii="Cambria Math" w:hAnsi="Cambria Math"/>
          </w:rPr>
          <m:t>h=</m:t>
        </m:r>
        <m:r>
          <w:rPr>
            <w:rFonts w:ascii="Cambria Math" w:hAnsi="Cambria Math"/>
          </w:rPr>
          <m:t>50</m:t>
        </m:r>
        <m:f>
          <m:fPr>
            <m:type m:val="lin"/>
            <m:ctrlPr>
              <w:rPr>
                <w:rFonts w:ascii="Cambria Math" w:hAnsi="Cambria Math"/>
                <w:i/>
              </w:rPr>
            </m:ctrlPr>
          </m:fPr>
          <m:num>
            <m:r>
              <w:rPr>
                <w:rFonts w:ascii="Cambria Math" w:hAnsi="Cambria Math"/>
              </w:rPr>
              <m:t>W</m:t>
            </m:r>
          </m:num>
          <m:den>
            <m:sSup>
              <m:sSupPr>
                <m:ctrlPr>
                  <w:rPr>
                    <w:rFonts w:ascii="Cambria Math" w:hAnsi="Cambria Math"/>
                    <w:i/>
                  </w:rPr>
                </m:ctrlPr>
              </m:sSupPr>
              <m:e>
                <m:r>
                  <w:rPr>
                    <w:rFonts w:ascii="Cambria Math" w:hAnsi="Cambria Math"/>
                  </w:rPr>
                  <m:t>m</m:t>
                </m:r>
              </m:e>
              <m:sup>
                <m:r>
                  <w:rPr>
                    <w:rFonts w:ascii="Cambria Math" w:hAnsi="Cambria Math"/>
                  </w:rPr>
                  <m:t>2</m:t>
                </m:r>
              </m:sup>
            </m:sSup>
            <m:r>
              <w:rPr>
                <w:rFonts w:ascii="Cambria Math" w:hAnsi="Cambria Math"/>
              </w:rPr>
              <m:t>K</m:t>
            </m:r>
          </m:den>
        </m:f>
      </m:oMath>
      <w:r>
        <w:t xml:space="preserve">, and </w:t>
      </w:r>
      <m:oMath>
        <m:sSub>
          <m:sSubPr>
            <m:ctrlPr>
              <w:rPr>
                <w:rFonts w:ascii="Cambria Math" w:hAnsi="Cambria Math"/>
                <w:i/>
              </w:rPr>
            </m:ctrlPr>
          </m:sSubPr>
          <m:e>
            <m:r>
              <w:rPr>
                <w:rFonts w:ascii="Cambria Math" w:hAnsi="Cambria Math"/>
              </w:rPr>
              <m:t>T</m:t>
            </m:r>
          </m:e>
          <m:sub>
            <m:r>
              <w:rPr>
                <w:rFonts w:ascii="Cambria Math" w:hAnsi="Cambria Math"/>
              </w:rPr>
              <m:t>1</m:t>
            </m:r>
          </m:sub>
        </m:sSub>
        <m:r>
          <w:rPr>
            <w:rFonts w:ascii="Cambria Math" w:hAnsi="Cambria Math"/>
          </w:rPr>
          <m:t>= </m:t>
        </m:r>
        <m:sSup>
          <m:sSupPr>
            <m:ctrlPr>
              <w:rPr>
                <w:rFonts w:ascii="Cambria Math" w:hAnsi="Cambria Math"/>
                <w:i/>
              </w:rPr>
            </m:ctrlPr>
          </m:sSupPr>
          <m:e>
            <m:r>
              <w:rPr>
                <w:rFonts w:ascii="Cambria Math" w:hAnsi="Cambria Math"/>
              </w:rPr>
              <m:t>30</m:t>
            </m:r>
          </m:e>
          <m:sup>
            <m:r>
              <w:rPr>
                <w:rFonts w:ascii="Cambria Math" w:hAnsi="Cambria Math"/>
              </w:rPr>
              <m:t>o</m:t>
            </m:r>
          </m:sup>
        </m:sSup>
        <m:r>
          <w:rPr>
            <w:rFonts w:ascii="Cambria Math" w:hAnsi="Cambria Math"/>
          </w:rPr>
          <m:t>C</m:t>
        </m:r>
      </m:oMath>
      <w:r>
        <w:t xml:space="preserve">. Calculate the heat flux </w:t>
      </w:r>
      <m:oMath>
        <m:sSubSup>
          <m:sSubSupPr>
            <m:ctrlPr>
              <w:rPr>
                <w:rFonts w:ascii="Cambria Math" w:hAnsi="Cambria Math"/>
                <w:i/>
              </w:rPr>
            </m:ctrlPr>
          </m:sSubSupPr>
          <m:e>
            <m:r>
              <w:rPr>
                <w:rFonts w:ascii="Cambria Math" w:hAnsi="Cambria Math"/>
              </w:rPr>
              <m:t>q</m:t>
            </m:r>
          </m:e>
          <m:sub>
            <m:r>
              <w:rPr>
                <w:rFonts w:ascii="Cambria Math" w:hAnsi="Cambria Math"/>
              </w:rPr>
              <m:t>0</m:t>
            </m:r>
          </m:sub>
          <m:sup>
            <m:r>
              <w:rPr>
                <w:rFonts w:ascii="Cambria Math" w:hAnsi="Cambria Math"/>
              </w:rPr>
              <m:t>''</m:t>
            </m:r>
          </m:sup>
        </m:sSubSup>
      </m:oMath>
      <w:r>
        <w:t xml:space="preserve"> that is required to maintain the bonded surface </w:t>
      </w:r>
      <w:proofErr w:type="gramStart"/>
      <w:r>
        <w:t xml:space="preserve">at </w:t>
      </w:r>
      <w:proofErr w:type="gramEnd"/>
      <m:oMath>
        <m:sSub>
          <m:sSubPr>
            <m:ctrlPr>
              <w:rPr>
                <w:rFonts w:ascii="Cambria Math" w:hAnsi="Cambria Math"/>
                <w:i/>
              </w:rPr>
            </m:ctrlPr>
          </m:sSubPr>
          <m:e>
            <m:r>
              <w:rPr>
                <w:rFonts w:ascii="Cambria Math" w:hAnsi="Cambria Math"/>
              </w:rPr>
              <m:t>T</m:t>
            </m:r>
          </m:e>
          <m:sub>
            <m:r>
              <w:rPr>
                <w:rFonts w:ascii="Cambria Math" w:hAnsi="Cambria Math"/>
              </w:rPr>
              <m:t>0</m:t>
            </m:r>
          </m:sub>
        </m:sSub>
        <m:r>
          <w:rPr>
            <w:rFonts w:ascii="Cambria Math" w:hAnsi="Cambria Math"/>
          </w:rPr>
          <m:t>=</m:t>
        </m:r>
        <m:sSup>
          <m:sSupPr>
            <m:ctrlPr>
              <w:rPr>
                <w:rFonts w:ascii="Cambria Math" w:hAnsi="Cambria Math"/>
                <w:i/>
              </w:rPr>
            </m:ctrlPr>
          </m:sSupPr>
          <m:e>
            <m:r>
              <w:rPr>
                <w:rFonts w:ascii="Cambria Math" w:hAnsi="Cambria Math"/>
              </w:rPr>
              <m:t>60</m:t>
            </m:r>
          </m:e>
          <m:sup>
            <m:r>
              <w:rPr>
                <w:rFonts w:ascii="Cambria Math" w:hAnsi="Cambria Math"/>
              </w:rPr>
              <m:t>o</m:t>
            </m:r>
          </m:sup>
        </m:sSup>
        <m:r>
          <w:rPr>
            <w:rFonts w:ascii="Cambria Math" w:hAnsi="Cambria Math"/>
          </w:rPr>
          <m:t>C</m:t>
        </m:r>
      </m:oMath>
      <w:r>
        <w:t>.</w:t>
      </w:r>
    </w:p>
    <w:p w:rsidR="000A7D09" w:rsidRPr="00231F1C" w:rsidRDefault="000A7D09" w:rsidP="000A7D09">
      <w:pPr>
        <w:pStyle w:val="ListParagraph"/>
        <w:numPr>
          <w:ilvl w:val="1"/>
          <w:numId w:val="1"/>
        </w:numPr>
        <w:spacing w:line="360" w:lineRule="auto"/>
        <w:jc w:val="both"/>
      </w:pPr>
      <w:r>
        <w:t>If the film is not transparent and all of the radiant heat flux is absorbed at its upper surface, determine the heat flux required to achieve bonding under the same conditions as part (ii).</w:t>
      </w:r>
    </w:p>
    <w:p w:rsidR="000A7D09" w:rsidRDefault="000A7D09" w:rsidP="000A7D09">
      <w:pPr>
        <w:tabs>
          <w:tab w:val="left" w:pos="1080"/>
        </w:tabs>
        <w:spacing w:line="360" w:lineRule="auto"/>
        <w:ind w:left="1080"/>
        <w:jc w:val="right"/>
        <w:rPr>
          <w:sz w:val="22"/>
          <w:szCs w:val="22"/>
        </w:rPr>
      </w:pPr>
      <w:r>
        <w:rPr>
          <w:sz w:val="22"/>
          <w:szCs w:val="22"/>
        </w:rPr>
        <w:t>[20 marks]</w:t>
      </w:r>
    </w:p>
    <w:p w:rsidR="000A7D09" w:rsidRDefault="000A7D09" w:rsidP="000A7D09">
      <w:pPr>
        <w:tabs>
          <w:tab w:val="left" w:pos="450"/>
        </w:tabs>
        <w:spacing w:line="360" w:lineRule="auto"/>
        <w:jc w:val="both"/>
        <w:rPr>
          <w:sz w:val="22"/>
          <w:szCs w:val="22"/>
        </w:rPr>
      </w:pPr>
      <w:r>
        <w:rPr>
          <w:noProof/>
          <w:sz w:val="22"/>
          <w:szCs w:val="22"/>
        </w:rPr>
        <w:drawing>
          <wp:inline distT="0" distB="0" distL="0" distR="0" wp14:anchorId="7FE5E57A" wp14:editId="31A16777">
            <wp:extent cx="4130974" cy="19431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nduction.bw.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73990" cy="1963334"/>
                    </a:xfrm>
                    <a:prstGeom prst="rect">
                      <a:avLst/>
                    </a:prstGeom>
                  </pic:spPr>
                </pic:pic>
              </a:graphicData>
            </a:graphic>
          </wp:inline>
        </w:drawing>
      </w:r>
      <w:r>
        <w:rPr>
          <w:sz w:val="22"/>
          <w:szCs w:val="22"/>
        </w:rPr>
        <w:t>Figure Q3</w:t>
      </w:r>
    </w:p>
    <w:p w:rsidR="00E9791E" w:rsidRDefault="00E9791E" w:rsidP="000A7D09">
      <w:bookmarkStart w:id="0" w:name="_GoBack"/>
      <w:bookmarkEnd w:id="0"/>
    </w:p>
    <w:sectPr w:rsidR="00E979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0A3335"/>
    <w:multiLevelType w:val="multilevel"/>
    <w:tmpl w:val="7DDE5396"/>
    <w:lvl w:ilvl="0">
      <w:start w:val="1"/>
      <w:numFmt w:val="lowerLetter"/>
      <w:lvlText w:val="(%1)"/>
      <w:lvlJc w:val="left"/>
      <w:pPr>
        <w:tabs>
          <w:tab w:val="num" w:pos="810"/>
        </w:tabs>
        <w:ind w:left="810" w:hanging="360"/>
      </w:pPr>
      <w:rPr>
        <w:rFonts w:hint="default"/>
      </w:rPr>
    </w:lvl>
    <w:lvl w:ilvl="1">
      <w:start w:val="1"/>
      <w:numFmt w:val="lowerRoman"/>
      <w:lvlText w:val="%2."/>
      <w:lvlJc w:val="left"/>
      <w:pPr>
        <w:tabs>
          <w:tab w:val="num" w:pos="1530"/>
        </w:tabs>
        <w:ind w:left="1530" w:hanging="360"/>
      </w:pPr>
      <w:rPr>
        <w:rFonts w:hint="default"/>
      </w:rPr>
    </w:lvl>
    <w:lvl w:ilvl="2">
      <w:start w:val="1"/>
      <w:numFmt w:val="lowerRoman"/>
      <w:lvlText w:val="%3."/>
      <w:lvlJc w:val="right"/>
      <w:pPr>
        <w:tabs>
          <w:tab w:val="num" w:pos="2250"/>
        </w:tabs>
        <w:ind w:left="2250" w:hanging="180"/>
      </w:pPr>
      <w:rPr>
        <w:rFonts w:hint="default"/>
      </w:rPr>
    </w:lvl>
    <w:lvl w:ilvl="3">
      <w:start w:val="1"/>
      <w:numFmt w:val="decimal"/>
      <w:lvlText w:val="%4."/>
      <w:lvlJc w:val="left"/>
      <w:pPr>
        <w:tabs>
          <w:tab w:val="num" w:pos="2970"/>
        </w:tabs>
        <w:ind w:left="2970" w:hanging="360"/>
      </w:pPr>
      <w:rPr>
        <w:rFonts w:hint="default"/>
      </w:rPr>
    </w:lvl>
    <w:lvl w:ilvl="4">
      <w:start w:val="1"/>
      <w:numFmt w:val="lowerLetter"/>
      <w:lvlText w:val="%5."/>
      <w:lvlJc w:val="left"/>
      <w:pPr>
        <w:tabs>
          <w:tab w:val="num" w:pos="3690"/>
        </w:tabs>
        <w:ind w:left="3690" w:hanging="360"/>
      </w:pPr>
      <w:rPr>
        <w:rFonts w:hint="default"/>
      </w:rPr>
    </w:lvl>
    <w:lvl w:ilvl="5">
      <w:start w:val="1"/>
      <w:numFmt w:val="lowerRoman"/>
      <w:lvlText w:val="%6."/>
      <w:lvlJc w:val="right"/>
      <w:pPr>
        <w:tabs>
          <w:tab w:val="num" w:pos="4410"/>
        </w:tabs>
        <w:ind w:left="4410" w:hanging="180"/>
      </w:pPr>
      <w:rPr>
        <w:rFonts w:hint="default"/>
      </w:rPr>
    </w:lvl>
    <w:lvl w:ilvl="6">
      <w:start w:val="1"/>
      <w:numFmt w:val="decimal"/>
      <w:lvlText w:val="%7."/>
      <w:lvlJc w:val="left"/>
      <w:pPr>
        <w:tabs>
          <w:tab w:val="num" w:pos="5130"/>
        </w:tabs>
        <w:ind w:left="5130" w:hanging="360"/>
      </w:pPr>
      <w:rPr>
        <w:rFonts w:hint="default"/>
      </w:rPr>
    </w:lvl>
    <w:lvl w:ilvl="7">
      <w:start w:val="1"/>
      <w:numFmt w:val="lowerLetter"/>
      <w:lvlText w:val="%8."/>
      <w:lvlJc w:val="left"/>
      <w:pPr>
        <w:tabs>
          <w:tab w:val="num" w:pos="5850"/>
        </w:tabs>
        <w:ind w:left="5850" w:hanging="360"/>
      </w:pPr>
      <w:rPr>
        <w:rFonts w:hint="default"/>
      </w:rPr>
    </w:lvl>
    <w:lvl w:ilvl="8">
      <w:start w:val="1"/>
      <w:numFmt w:val="lowerRoman"/>
      <w:lvlText w:val="%9."/>
      <w:lvlJc w:val="right"/>
      <w:pPr>
        <w:tabs>
          <w:tab w:val="num" w:pos="6570"/>
        </w:tabs>
        <w:ind w:left="6570" w:hanging="1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D09"/>
    <w:rsid w:val="000A7D09"/>
    <w:rsid w:val="00E97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F2098-EDD6-46D1-8761-49EF91543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7D09"/>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0A7D0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A7D09"/>
    <w:rPr>
      <w:rFonts w:asciiTheme="majorHAnsi" w:eastAsiaTheme="majorEastAsia" w:hAnsiTheme="majorHAnsi" w:cstheme="majorBidi"/>
      <w:color w:val="2E74B5" w:themeColor="accent1" w:themeShade="BF"/>
      <w:sz w:val="32"/>
      <w:szCs w:val="32"/>
    </w:rPr>
  </w:style>
  <w:style w:type="paragraph" w:styleId="ListParagraph">
    <w:name w:val="List Paragraph"/>
    <w:basedOn w:val="Normal"/>
    <w:uiPriority w:val="34"/>
    <w:qFormat/>
    <w:rsid w:val="000A7D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926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Mohsin</dc:creator>
  <cp:keywords/>
  <dc:description/>
  <cp:lastModifiedBy>Mohsin</cp:lastModifiedBy>
  <cp:revision>1</cp:revision>
  <dcterms:created xsi:type="dcterms:W3CDTF">2016-04-13T03:00:00Z</dcterms:created>
  <dcterms:modified xsi:type="dcterms:W3CDTF">2016-04-13T03:01:00Z</dcterms:modified>
</cp:coreProperties>
</file>